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98BA" w14:textId="77777777" w:rsidR="001703CD" w:rsidRDefault="001703CD" w:rsidP="001703CD">
      <w:pPr>
        <w:pStyle w:val="NormalWeb"/>
        <w:shd w:val="clear" w:color="auto" w:fill="FFFFFF"/>
        <w:spacing w:before="180" w:beforeAutospacing="0" w:after="0" w:afterAutospacing="0"/>
        <w:rPr>
          <w:rFonts w:ascii="Roboto" w:hAnsi="Roboto"/>
          <w:color w:val="2D3B45"/>
        </w:rPr>
      </w:pPr>
      <w:r>
        <w:rPr>
          <w:rFonts w:ascii="Roboto" w:hAnsi="Roboto"/>
          <w:color w:val="2D3B45"/>
        </w:rPr>
        <w:t>I have witnessed individuals show acts of helping others through altruism. Authors suggest that the empathy-altruism holds the root of concern from one that leads to  selfless motivation to help that other (Maner et al., 2002). I believe that most genuine people began to want to help without any intention of getting anything in return.  However, in the mist of helping, it seems as if others may take the help for granted and abuse the power of a need being met by someone else. Being taken for granted or using someone’s kindness for weakness, can cause any person involved in helping to approach a situation with reservation and to think of the benefits for them. With the feeling of being used and taken for granted, that is when I see profit or maximizing utility becomes the goal. People may begin to give and do more based off of the publicly, praise,monetary gifts, and more than will be received. An example of this would be a mayoral campaign. The team will do all of what they can to make their person outshines the opponent. This could be by promising things to the community, being in the public eyes doing good deeds, and donating time or money to charity.</w:t>
      </w:r>
    </w:p>
    <w:p w14:paraId="585ADB61" w14:textId="77777777" w:rsidR="001703CD" w:rsidRDefault="001703CD" w:rsidP="001703CD">
      <w:pPr>
        <w:pStyle w:val="NormalWeb"/>
        <w:shd w:val="clear" w:color="auto" w:fill="FFFFFF"/>
        <w:spacing w:before="180" w:beforeAutospacing="0" w:after="0" w:afterAutospacing="0"/>
        <w:rPr>
          <w:rFonts w:ascii="Roboto" w:hAnsi="Roboto"/>
          <w:color w:val="2D3B45"/>
        </w:rPr>
      </w:pPr>
      <w:r>
        <w:rPr>
          <w:rFonts w:ascii="Roboto" w:hAnsi="Roboto"/>
          <w:color w:val="2D3B45"/>
        </w:rPr>
        <w:t> I believe most people have an open heart to give effortlessly until they encounter a negative impact of their unobligated giving. It is also true that many may sense an obligation to help, especially if one has been in a similar situation before. I believe an individual wants to become someone’s hero and make a difference in others' lives.  I have seen numerous motivational speakers that targets one population that they can relate to based off of an experience they had. Typically their experience ends with a victory, which they hope encourages others to continue on a positive path. </w:t>
      </w:r>
    </w:p>
    <w:p w14:paraId="309F00D7" w14:textId="77777777" w:rsidR="001703CD" w:rsidRDefault="001703CD" w:rsidP="001703CD">
      <w:pPr>
        <w:pStyle w:val="NormalWeb"/>
        <w:shd w:val="clear" w:color="auto" w:fill="FFFFFF"/>
        <w:spacing w:before="180" w:beforeAutospacing="0" w:after="0" w:afterAutospacing="0"/>
        <w:rPr>
          <w:rFonts w:ascii="Roboto" w:hAnsi="Roboto"/>
          <w:color w:val="2D3B45"/>
        </w:rPr>
      </w:pPr>
      <w:r>
        <w:rPr>
          <w:rFonts w:ascii="Roboto" w:hAnsi="Roboto"/>
          <w:color w:val="2D3B45"/>
        </w:rPr>
        <w:t>Although I do believe in my personal opinion, I also looked at the text and the presentation  to compare my thoughts. The textbooks define reward as anything that is considered as beneficial to one’s interest (White, Martin, &amp; Adamsons, 2019). Reflecting on the definition, it is also possible for not wanting or seeking a reward could be a rewarding feeling of its own. If this is considered a reward, then doing acts purely for no reason is an impossible concept.  I believe it is impossible to do any acts without an emotion attached to it. </w:t>
      </w:r>
    </w:p>
    <w:p w14:paraId="5EF00175" w14:textId="77777777" w:rsidR="001703CD" w:rsidRDefault="001703CD" w:rsidP="001703CD">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3874DF0A" w14:textId="77777777" w:rsidR="001703CD" w:rsidRDefault="001703CD" w:rsidP="001703CD">
      <w:pPr>
        <w:pStyle w:val="NormalWeb"/>
        <w:shd w:val="clear" w:color="auto" w:fill="FFFFFF"/>
        <w:spacing w:before="180" w:beforeAutospacing="0" w:after="0" w:afterAutospacing="0"/>
        <w:rPr>
          <w:rFonts w:ascii="Roboto" w:hAnsi="Roboto"/>
          <w:color w:val="2D3B45"/>
        </w:rPr>
      </w:pPr>
      <w:r>
        <w:rPr>
          <w:rFonts w:ascii="Roboto" w:hAnsi="Roboto"/>
          <w:color w:val="2D3B45"/>
        </w:rPr>
        <w:t>References</w:t>
      </w:r>
    </w:p>
    <w:p w14:paraId="769D4DEF" w14:textId="77777777" w:rsidR="001703CD" w:rsidRDefault="001703CD" w:rsidP="001703CD">
      <w:pPr>
        <w:pStyle w:val="NormalWeb"/>
        <w:shd w:val="clear" w:color="auto" w:fill="FFFFFF"/>
        <w:spacing w:before="0" w:beforeAutospacing="0" w:after="0" w:afterAutospacing="0"/>
        <w:rPr>
          <w:rFonts w:ascii="Roboto" w:hAnsi="Roboto"/>
          <w:color w:val="2D3B45"/>
        </w:rPr>
      </w:pPr>
      <w:r>
        <w:rPr>
          <w:rFonts w:ascii="Roboto" w:hAnsi="Roboto"/>
          <w:color w:val="2D3B45"/>
        </w:rPr>
        <w:t>Maner, J. K., Luce, C. L., Neuberg, S. L., Cialdini, R. B., Brown, S., &amp; Sagarin, B. J. (2002). The effects of perspective taking on motivations for helping: Still no evidence for altruism. </w:t>
      </w:r>
      <w:r>
        <w:rPr>
          <w:rFonts w:ascii="Roboto" w:hAnsi="Roboto"/>
          <w:i/>
          <w:iCs/>
          <w:color w:val="2D3B45"/>
        </w:rPr>
        <w:t>Society for Personality and Social Psychology, Inc</w:t>
      </w:r>
      <w:r>
        <w:rPr>
          <w:rFonts w:ascii="Roboto" w:hAnsi="Roboto"/>
          <w:color w:val="2D3B45"/>
        </w:rPr>
        <w:t>, </w:t>
      </w:r>
      <w:r>
        <w:rPr>
          <w:rFonts w:ascii="Roboto" w:hAnsi="Roboto"/>
          <w:i/>
          <w:iCs/>
          <w:color w:val="2D3B45"/>
        </w:rPr>
        <w:t>28</w:t>
      </w:r>
      <w:r>
        <w:rPr>
          <w:rFonts w:ascii="Roboto" w:hAnsi="Roboto"/>
          <w:color w:val="2D3B45"/>
        </w:rPr>
        <w:t>(11), 1601–1610. </w:t>
      </w:r>
      <w:hyperlink r:id="rId4" w:tgtFrame="_blank" w:history="1">
        <w:r>
          <w:rPr>
            <w:rStyle w:val="Hyperlink"/>
            <w:rFonts w:ascii="Roboto" w:hAnsi="Roboto"/>
          </w:rPr>
          <w:t>https://doi.org/10.1177/014616702237586</w:t>
        </w:r>
        <w:r>
          <w:rPr>
            <w:rStyle w:val="screenreader-only"/>
            <w:rFonts w:ascii="Roboto" w:hAnsi="Roboto"/>
            <w:color w:val="0000FF"/>
            <w:u w:val="single"/>
            <w:bdr w:val="none" w:sz="0" w:space="0" w:color="auto" w:frame="1"/>
          </w:rPr>
          <w:t> (Links to an external site.)</w:t>
        </w:r>
      </w:hyperlink>
    </w:p>
    <w:p w14:paraId="0BC3B8B9" w14:textId="77777777" w:rsidR="001703CD" w:rsidRDefault="001703CD" w:rsidP="001703CD">
      <w:pPr>
        <w:pStyle w:val="NormalWeb"/>
        <w:shd w:val="clear" w:color="auto" w:fill="FFFFFF"/>
        <w:spacing w:before="180" w:beforeAutospacing="0" w:after="0" w:afterAutospacing="0"/>
        <w:rPr>
          <w:rFonts w:ascii="Roboto" w:hAnsi="Roboto"/>
          <w:color w:val="2D3B45"/>
        </w:rPr>
      </w:pPr>
      <w:r>
        <w:rPr>
          <w:rFonts w:ascii="Roboto" w:hAnsi="Roboto"/>
          <w:color w:val="2D3B45"/>
        </w:rPr>
        <w:t>White, J. M., Martin, T. F., &amp; Adamsons, K. (2019). </w:t>
      </w:r>
      <w:r>
        <w:rPr>
          <w:rFonts w:ascii="Roboto" w:hAnsi="Roboto"/>
          <w:i/>
          <w:iCs/>
          <w:color w:val="2D3B45"/>
        </w:rPr>
        <w:t>Family theories: An introduction</w:t>
      </w:r>
      <w:r>
        <w:rPr>
          <w:rFonts w:ascii="Roboto" w:hAnsi="Roboto"/>
          <w:color w:val="2D3B45"/>
        </w:rPr>
        <w:t> (5th ed.). SAGE.</w:t>
      </w:r>
    </w:p>
    <w:p w14:paraId="6E923E16"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CD"/>
    <w:rsid w:val="001703CD"/>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F969"/>
  <w15:chartTrackingRefBased/>
  <w15:docId w15:val="{B69EE311-7AE7-4AE7-859A-4F84F68F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3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03CD"/>
    <w:rPr>
      <w:color w:val="0000FF"/>
      <w:u w:val="single"/>
    </w:rPr>
  </w:style>
  <w:style w:type="character" w:customStyle="1" w:styleId="screenreader-only">
    <w:name w:val="screenreader-only"/>
    <w:basedOn w:val="DefaultParagraphFont"/>
    <w:rsid w:val="00170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8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77/014616702237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2020-01-24T02:53:00Z</dcterms:created>
  <dcterms:modified xsi:type="dcterms:W3CDTF">2020-01-24T02:54:00Z</dcterms:modified>
</cp:coreProperties>
</file>